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7056"/>
        <w:gridCol w:w="2303"/>
      </w:tblGrid>
      <w:tr>
        <w:tc>
          <w:tcPr>
            <w:tcW w:type="dxa" w:w="4680"/>
          </w:tcPr>
          <w:p>
            <w:pPr>
              <w:spacing w:after="0"/>
            </w:pPr>
            <w:r>
              <w:rPr>
                <w:rFonts w:ascii="Inter" w:hAnsi="Inter"/>
                <w:b/>
                <w:color w:val="FFFFFF"/>
                <w:sz w:val="18"/>
                <w:shd w:val="clear" w:color="auto" w:fill="C8392F"/>
              </w:rPr>
              <w:t xml:space="preserve"> CPP </w:t>
            </w:r>
            <w:r>
              <w:rPr>
                <w:rFonts w:ascii="Inter" w:hAnsi="Inter"/>
                <w:b/>
                <w:color w:val="0D1B2A"/>
                <w:sz w:val="21"/>
              </w:rPr>
              <w:t xml:space="preserve">  Critical Path Partners</w:t>
            </w:r>
            <w:r>
              <w:rPr>
                <w:rFonts w:ascii="Inter" w:hAnsi="Inter"/>
                <w:color w:val="33455A"/>
                <w:sz w:val="18"/>
              </w:rPr>
              <w:t xml:space="preserve">   Forensic schedule analysis</w:t>
            </w:r>
          </w:p>
        </w:tc>
        <w:tc>
          <w:tcPr>
            <w:tcW w:type="dxa" w:w="4680"/>
          </w:tcPr>
          <w:p>
            <w:pPr>
              <w:spacing w:after="0"/>
              <w:jc w:val="right"/>
            </w:pPr>
            <w:r>
              <w:rPr>
                <w:rFonts w:ascii="Consolas" w:hAnsi="Consolas"/>
                <w:color w:val="33455A"/>
                <w:sz w:val="16"/>
              </w:rPr>
              <w:t>CPP-ENG-LTR / CPP-2025-DEMO</w:t>
            </w:r>
          </w:p>
        </w:tc>
      </w:tr>
    </w:tbl>
    <w:p>
      <w:pPr>
        <w:spacing w:before="60" w:after="200"/>
        <w:pBdr>
          <w:bottom w:val="single" w:sz="8" w:space="4" w:color="0F2540"/>
        </w:pBdr>
      </w:pPr>
    </w:p>
    <w:tbl>
      <w:tblPr>
        <w:tblW w:type="auto" w:w="0"/>
        <w:jc w:val="center"/>
        <w:tblLook w:firstColumn="1" w:firstRow="1" w:lastColumn="0" w:lastRow="0" w:noHBand="0" w:noVBand="1" w:val="04A0"/>
        <w:tblLayout w:type="fixed"/>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9360"/>
      </w:tblGrid>
      <w:tr>
        <w:tc>
          <w:tcPr>
            <w:tcW w:type="dxa" w:w="9360"/>
          </w:tcPr>
          <w:p>
            <w:pPr>
              <w:spacing w:after="40"/>
            </w:pPr>
            <w:r>
              <w:rPr>
                <w:rFonts w:ascii="Inter" w:hAnsi="Inter"/>
                <w:b/>
                <w:color w:val="0D1B2A"/>
                <w:sz w:val="44"/>
              </w:rPr>
              <w:t>Ontario Community College - B2 (Demo Data)</w:t>
            </w:r>
          </w:p>
          <w:p>
            <w:pPr>
              <w:spacing w:after="80"/>
            </w:pPr>
            <w:r>
              <w:rPr>
                <w:rFonts w:ascii="Inter" w:hAnsi="Inter"/>
                <w:color w:val="33455A"/>
                <w:sz w:val="23"/>
              </w:rPr>
              <w:t>Engagement letter</w:t>
            </w:r>
          </w:p>
          <w:p>
            <w:pPr>
              <w:spacing w:before="80" w:after="0"/>
            </w:pPr>
            <w:r>
              <w:rPr>
                <w:rFonts w:ascii="Inter" w:hAnsi="Inter"/>
                <w:color w:val="33455A"/>
                <w:sz w:val="17"/>
              </w:rPr>
              <w:t xml:space="preserve">Client  </w:t>
            </w:r>
            <w:r>
              <w:rPr>
                <w:rFonts w:ascii="Inter" w:hAnsi="Inter"/>
                <w:b/>
                <w:color w:val="0D1B2A"/>
                <w:sz w:val="19"/>
              </w:rPr>
              <w:t>Northgate Constructors (Demo)</w:t>
            </w:r>
            <w:r>
              <w:rPr>
                <w:rFonts w:ascii="Inter" w:hAnsi="Inter"/>
              </w:rPr>
              <w:t xml:space="preserve">    </w:t>
            </w:r>
            <w:r>
              <w:rPr>
                <w:rFonts w:ascii="Inter" w:hAnsi="Inter"/>
                <w:color w:val="33455A"/>
                <w:sz w:val="17"/>
              </w:rPr>
              <w:t xml:space="preserve">Prepared by  </w:t>
            </w:r>
            <w:r>
              <w:rPr>
                <w:rFonts w:ascii="Inter" w:hAnsi="Inter"/>
                <w:b/>
                <w:color w:val="0D1B2A"/>
                <w:sz w:val="19"/>
              </w:rPr>
              <w:t>Critical Path Partners</w:t>
            </w:r>
            <w:r>
              <w:rPr>
                <w:rFonts w:ascii="Inter" w:hAnsi="Inter"/>
              </w:rPr>
              <w:t xml:space="preserve">    </w:t>
            </w:r>
            <w:r>
              <w:rPr>
                <w:rFonts w:ascii="Inter" w:hAnsi="Inter"/>
                <w:color w:val="33455A"/>
                <w:sz w:val="17"/>
              </w:rPr>
              <w:t xml:space="preserve">Fee basis  </w:t>
            </w:r>
            <w:r>
              <w:rPr>
                <w:rFonts w:ascii="Inter" w:hAnsi="Inter"/>
                <w:b/>
                <w:color w:val="0D1B2A"/>
                <w:sz w:val="19"/>
              </w:rPr>
              <w:t>fixed</w:t>
            </w:r>
            <w:r>
              <w:rPr>
                <w:rFonts w:ascii="Inter" w:hAnsi="Inter"/>
              </w:rPr>
              <w:t xml:space="preserve">    </w:t>
            </w:r>
            <w:r>
              <w:rPr>
                <w:rFonts w:ascii="Inter" w:hAnsi="Inter"/>
                <w:color w:val="33455A"/>
                <w:sz w:val="17"/>
              </w:rPr>
              <w:t xml:space="preserve">Date  </w:t>
            </w:r>
            <w:r>
              <w:rPr>
                <w:rFonts w:ascii="Inter" w:hAnsi="Inter"/>
                <w:b/>
                <w:color w:val="0D1B2A"/>
                <w:sz w:val="19"/>
              </w:rPr>
              <w:t>September 01, 2026</w:t>
            </w:r>
          </w:p>
        </w:tc>
      </w:tr>
    </w:tbl>
    <w:p>
      <w:pPr>
        <w:spacing w:after="80"/>
      </w:pPr>
    </w:p>
    <w:p>
      <w:r>
        <w:rPr>
          <w:rFonts w:ascii="Inter" w:hAnsi="Inter"/>
          <w:b w:val="0"/>
          <w:color w:val="0D1B2A"/>
          <w:sz w:val="21"/>
        </w:rPr>
        <w:t>Draft for review by an Ontario lawyer before first client use.</w:t>
      </w:r>
    </w:p>
    <w:p/>
    <w:p>
      <w:pPr>
        <w:keepNext/>
        <w:spacing w:before="320" w:after="120"/>
        <w:pBdr>
          <w:bottom w:val="single" w:sz="6" w:space="4" w:color="C9D3DD"/>
        </w:pBdr>
      </w:pPr>
      <w:r>
        <w:rPr>
          <w:rFonts w:ascii="Inter" w:hAnsi="Inter"/>
          <w:b/>
          <w:color w:val="C8392F"/>
          <w:sz w:val="18"/>
        </w:rPr>
        <w:t>E-01</w:t>
      </w:r>
      <w:r>
        <w:t xml:space="preserve">   </w:t>
      </w:r>
      <w:r>
        <w:rPr>
          <w:rFonts w:ascii="Inter" w:hAnsi="Inter"/>
          <w:b/>
          <w:color w:val="0D1B2A"/>
          <w:sz w:val="27"/>
        </w:rPr>
        <w:t>Parties</w:t>
      </w:r>
    </w:p>
    <w:tbl>
      <w:tblPr>
        <w:tblW w:type="auto" w:w="0"/>
        <w:tblLook w:firstColumn="1" w:firstRow="1" w:lastColumn="0" w:lastRow="0" w:noHBand="0" w:noVBand="1" w:val="04A0"/>
        <w:tblLayout w:type="fixed"/>
      </w:tblPr>
      <w:tblGrid>
        <w:gridCol w:w="2736"/>
        <w:gridCol w:w="6623"/>
      </w:tblGrid>
      <w:tr>
        <w:tc>
          <w:tcPr>
            <w:tcW w:type="dxa" w:w="2736"/>
            <w:tcBorders>
              <w:bottom w:val="single" w:sz="4" w:space="0" w:color="C9D3DD"/>
            </w:tcBorders>
            <w:vAlign w:val="center"/>
          </w:tcPr>
          <w:p>
            <w:pPr>
              <w:jc w:val="left"/>
            </w:pPr>
            <w:r/>
            <w:r>
              <w:rPr>
                <w:rFonts w:ascii="Inter" w:hAnsi="Inter"/>
                <w:b w:val="0"/>
                <w:color w:val="33455A"/>
                <w:sz w:val="18"/>
              </w:rPr>
              <w:t>Consultant</w:t>
            </w:r>
          </w:p>
        </w:tc>
        <w:tc>
          <w:tcPr>
            <w:tcW w:type="dxa" w:w="6623"/>
            <w:tcBorders>
              <w:bottom w:val="single" w:sz="4" w:space="0" w:color="C9D3DD"/>
            </w:tcBorders>
            <w:vAlign w:val="center"/>
          </w:tcPr>
          <w:p>
            <w:pPr>
              <w:jc w:val="left"/>
            </w:pPr>
            <w:r/>
            <w:r>
              <w:rPr>
                <w:rFonts w:ascii="Inter" w:hAnsi="Inter"/>
                <w:b/>
                <w:color w:val="0D1B2A"/>
                <w:sz w:val="19"/>
              </w:rPr>
              <w:t>Critical Path Partners (Dana Fitkowski, Principal)</w:t>
            </w:r>
          </w:p>
        </w:tc>
      </w:tr>
      <w:tr>
        <w:tc>
          <w:tcPr>
            <w:tcW w:type="dxa" w:w="2736"/>
            <w:tcBorders>
              <w:bottom w:val="single" w:sz="4" w:space="0" w:color="C9D3DD"/>
            </w:tcBorders>
            <w:vAlign w:val="center"/>
          </w:tcPr>
          <w:p>
            <w:pPr>
              <w:jc w:val="left"/>
            </w:pPr>
            <w:r/>
            <w:r>
              <w:rPr>
                <w:rFonts w:ascii="Inter" w:hAnsi="Inter"/>
                <w:b w:val="0"/>
                <w:color w:val="33455A"/>
                <w:sz w:val="18"/>
              </w:rPr>
              <w:t>Client</w:t>
            </w:r>
          </w:p>
        </w:tc>
        <w:tc>
          <w:tcPr>
            <w:tcW w:type="dxa" w:w="6623"/>
            <w:tcBorders>
              <w:bottom w:val="single" w:sz="4" w:space="0" w:color="C9D3DD"/>
            </w:tcBorders>
            <w:vAlign w:val="center"/>
          </w:tcPr>
          <w:p>
            <w:pPr>
              <w:jc w:val="left"/>
            </w:pPr>
            <w:r/>
            <w:r>
              <w:rPr>
                <w:rFonts w:ascii="Inter" w:hAnsi="Inter"/>
                <w:b/>
                <w:color w:val="0D1B2A"/>
                <w:sz w:val="19"/>
              </w:rPr>
              <w:t>Northgate Constructors (Demo)</w:t>
            </w:r>
          </w:p>
        </w:tc>
      </w:tr>
      <w:tr>
        <w:tc>
          <w:tcPr>
            <w:tcW w:type="dxa" w:w="2736"/>
            <w:tcBorders>
              <w:bottom w:val="single" w:sz="4" w:space="0" w:color="C9D3DD"/>
            </w:tcBorders>
            <w:vAlign w:val="center"/>
          </w:tcPr>
          <w:p>
            <w:pPr>
              <w:jc w:val="left"/>
            </w:pPr>
            <w:r/>
            <w:r>
              <w:rPr>
                <w:rFonts w:ascii="Inter" w:hAnsi="Inter"/>
                <w:b w:val="0"/>
                <w:color w:val="33455A"/>
                <w:sz w:val="18"/>
              </w:rPr>
              <w:t>Client address</w:t>
            </w:r>
          </w:p>
        </w:tc>
        <w:tc>
          <w:tcPr>
            <w:tcW w:type="dxa" w:w="6623"/>
            <w:tcBorders>
              <w:bottom w:val="single" w:sz="4" w:space="0" w:color="C9D3DD"/>
            </w:tcBorders>
            <w:vAlign w:val="center"/>
          </w:tcPr>
          <w:p>
            <w:pPr>
              <w:jc w:val="left"/>
            </w:pPr>
            <w:r/>
            <w:r>
              <w:rPr>
                <w:rFonts w:ascii="Inter" w:hAnsi="Inter"/>
                <w:b/>
                <w:color w:val="0D1B2A"/>
                <w:sz w:val="19"/>
              </w:rPr>
              <w:t>400 Example Road, Toronto, Ontario (Demo)</w:t>
            </w:r>
          </w:p>
        </w:tc>
      </w:tr>
    </w:tbl>
    <w:p>
      <w:pPr>
        <w:spacing w:after="40"/>
      </w:pPr>
    </w:p>
    <w:p>
      <w:pPr>
        <w:keepNext/>
        <w:spacing w:before="320" w:after="120"/>
        <w:pBdr>
          <w:bottom w:val="single" w:sz="6" w:space="4" w:color="C9D3DD"/>
        </w:pBdr>
      </w:pPr>
      <w:r>
        <w:rPr>
          <w:rFonts w:ascii="Inter" w:hAnsi="Inter"/>
          <w:b/>
          <w:color w:val="C8392F"/>
          <w:sz w:val="18"/>
        </w:rPr>
        <w:t>E-02</w:t>
      </w:r>
      <w:r>
        <w:t xml:space="preserve">   </w:t>
      </w:r>
      <w:r>
        <w:rPr>
          <w:rFonts w:ascii="Inter" w:hAnsi="Inter"/>
          <w:b/>
          <w:color w:val="0D1B2A"/>
          <w:sz w:val="27"/>
        </w:rPr>
        <w:t>Matter</w:t>
      </w:r>
    </w:p>
    <w:p>
      <w:r>
        <w:rPr>
          <w:rFonts w:ascii="Inter" w:hAnsi="Inter"/>
          <w:b w:val="0"/>
          <w:color w:val="0D1B2A"/>
          <w:sz w:val="21"/>
        </w:rPr>
        <w:t>This letter confirms the engagement of Critical Path Partners by Northgate Constructors (Demo) for schedule analysis on the following matter: Ontario Community College - B2 (Demo Data) (reference CPP-2025-DEMO).</w:t>
      </w:r>
    </w:p>
    <w:p>
      <w:pPr>
        <w:keepNext/>
        <w:spacing w:before="320" w:after="120"/>
        <w:pBdr>
          <w:bottom w:val="single" w:sz="6" w:space="4" w:color="C9D3DD"/>
        </w:pBdr>
      </w:pPr>
      <w:r>
        <w:rPr>
          <w:rFonts w:ascii="Inter" w:hAnsi="Inter"/>
          <w:b/>
          <w:color w:val="C8392F"/>
          <w:sz w:val="18"/>
        </w:rPr>
        <w:t>E-03</w:t>
      </w:r>
      <w:r>
        <w:t xml:space="preserve">   </w:t>
      </w:r>
      <w:r>
        <w:rPr>
          <w:rFonts w:ascii="Inter" w:hAnsi="Inter"/>
          <w:b/>
          <w:color w:val="0D1B2A"/>
          <w:sz w:val="27"/>
        </w:rPr>
        <w:t>Scope of services</w:t>
      </w:r>
    </w:p>
    <w:p>
      <w:r>
        <w:rPr>
          <w:rFonts w:ascii="Inter" w:hAnsi="Inter"/>
          <w:b w:val="0"/>
          <w:color w:val="0D1B2A"/>
          <w:sz w:val="21"/>
        </w:rPr>
        <w:t>The engagement covers schedule time analysis only. Quantum (cost) analysis is not included unless expressly added in writing by both parties.</w:t>
      </w:r>
    </w:p>
    <w:p>
      <w:r>
        <w:rPr>
          <w:rFonts w:ascii="Inter" w:hAnsi="Inter"/>
          <w:b w:val="0"/>
          <w:color w:val="0D1B2A"/>
          <w:sz w:val="21"/>
        </w:rPr>
        <w:t>1. Review of the baseline schedule and each schedule update the client provides (XER format).</w:t>
      </w:r>
    </w:p>
    <w:p>
      <w:r>
        <w:rPr>
          <w:rFonts w:ascii="Inter" w:hAnsi="Inter"/>
          <w:b w:val="0"/>
          <w:color w:val="0D1B2A"/>
          <w:sz w:val="21"/>
        </w:rPr>
        <w:t>2. Calendar decode and schedule integrity checks at intake.</w:t>
      </w:r>
    </w:p>
    <w:p>
      <w:r>
        <w:rPr>
          <w:rFonts w:ascii="Inter" w:hAnsi="Inter"/>
          <w:b w:val="0"/>
          <w:color w:val="0D1B2A"/>
          <w:sz w:val="21"/>
        </w:rPr>
        <w:t>3. Critical path review and delay quantification, reported in working days (wd).</w:t>
      </w:r>
    </w:p>
    <w:p>
      <w:r>
        <w:rPr>
          <w:rFonts w:ascii="Inter" w:hAnsi="Inter"/>
          <w:b w:val="0"/>
          <w:color w:val="0D1B2A"/>
          <w:sz w:val="21"/>
        </w:rPr>
        <w:t>4. A written analysis stating the working days the client claims pursuant to the contract clauses the client identifies.</w:t>
      </w:r>
    </w:p>
    <w:p>
      <w:r>
        <w:rPr>
          <w:rFonts w:ascii="Inter" w:hAnsi="Inter"/>
          <w:b w:val="0"/>
          <w:color w:val="0D1B2A"/>
          <w:sz w:val="21"/>
        </w:rPr>
        <w:t>5. Preparation of exhibits and figures supporting the analysis.</w:t>
      </w:r>
    </w:p>
    <w:p>
      <w:pPr>
        <w:keepNext/>
        <w:spacing w:before="320" w:after="120"/>
        <w:pBdr>
          <w:bottom w:val="single" w:sz="6" w:space="4" w:color="C9D3DD"/>
        </w:pBdr>
      </w:pPr>
      <w:r>
        <w:rPr>
          <w:rFonts w:ascii="Inter" w:hAnsi="Inter"/>
          <w:b/>
          <w:color w:val="C8392F"/>
          <w:sz w:val="18"/>
        </w:rPr>
        <w:t>E-04</w:t>
      </w:r>
      <w:r>
        <w:t xml:space="preserve">   </w:t>
      </w:r>
      <w:r>
        <w:rPr>
          <w:rFonts w:ascii="Inter" w:hAnsi="Inter"/>
          <w:b/>
          <w:color w:val="0D1B2A"/>
          <w:sz w:val="27"/>
        </w:rPr>
        <w:t>Deliverables</w:t>
      </w:r>
    </w:p>
    <w:p>
      <w:r>
        <w:rPr>
          <w:rFonts w:ascii="Inter" w:hAnsi="Inter"/>
          <w:b w:val="0"/>
          <w:color w:val="0D1B2A"/>
          <w:sz w:val="21"/>
        </w:rPr>
        <w:t>1. Schedule analysis report (DOCX and PDF).</w:t>
      </w:r>
    </w:p>
    <w:p>
      <w:r>
        <w:rPr>
          <w:rFonts w:ascii="Inter" w:hAnsi="Inter"/>
          <w:b w:val="0"/>
          <w:color w:val="0D1B2A"/>
          <w:sz w:val="21"/>
        </w:rPr>
        <w:t>2. Delay quantification tables, in working days (wd).</w:t>
      </w:r>
    </w:p>
    <w:p>
      <w:r>
        <w:rPr>
          <w:rFonts w:ascii="Inter" w:hAnsi="Inter"/>
          <w:b w:val="0"/>
          <w:color w:val="0D1B2A"/>
          <w:sz w:val="21"/>
        </w:rPr>
        <w:t>3. Exhibit set supporting the analysis.</w:t>
      </w:r>
    </w:p>
    <w:p>
      <w:pPr>
        <w:keepNext/>
        <w:spacing w:before="320" w:after="120"/>
        <w:pBdr>
          <w:bottom w:val="single" w:sz="6" w:space="4" w:color="C9D3DD"/>
        </w:pBdr>
      </w:pPr>
      <w:r>
        <w:rPr>
          <w:rFonts w:ascii="Inter" w:hAnsi="Inter"/>
          <w:b/>
          <w:color w:val="C8392F"/>
          <w:sz w:val="18"/>
        </w:rPr>
        <w:t>E-05</w:t>
      </w:r>
      <w:r>
        <w:t xml:space="preserve">   </w:t>
      </w:r>
      <w:r>
        <w:rPr>
          <w:rFonts w:ascii="Inter" w:hAnsi="Inter"/>
          <w:b/>
          <w:color w:val="0D1B2A"/>
          <w:sz w:val="27"/>
        </w:rPr>
        <w:t>Fee and payment terms</w:t>
      </w:r>
    </w:p>
    <w:p>
      <w:r>
        <w:rPr>
          <w:rFonts w:ascii="Inter" w:hAnsi="Inter"/>
          <w:b w:val="0"/>
          <w:color w:val="0D1B2A"/>
          <w:sz w:val="21"/>
        </w:rPr>
        <w:t>The fee for the scope of services above is $12,500.00 CAD, fixed. Amounts are in Canadian dollars (CAD).</w:t>
      </w:r>
    </w:p>
    <w:p>
      <w:r>
        <w:rPr>
          <w:rFonts w:ascii="Inter" w:hAnsi="Inter"/>
          <w:b w:val="0"/>
          <w:color w:val="0D1B2A"/>
          <w:sz w:val="21"/>
        </w:rPr>
        <w:t>Invoices are payable Net 30 days from invoice date. HST at 13% applies, registration 844514927 RT0001.</w:t>
      </w:r>
    </w:p>
    <w:p>
      <w:pPr>
        <w:keepNext/>
        <w:spacing w:before="320" w:after="120"/>
        <w:pBdr>
          <w:bottom w:val="single" w:sz="6" w:space="4" w:color="C9D3DD"/>
        </w:pBdr>
      </w:pPr>
      <w:r>
        <w:rPr>
          <w:rFonts w:ascii="Inter" w:hAnsi="Inter"/>
          <w:b/>
          <w:color w:val="C8392F"/>
          <w:sz w:val="18"/>
        </w:rPr>
        <w:t>E-06</w:t>
      </w:r>
      <w:r>
        <w:t xml:space="preserve">   </w:t>
      </w:r>
      <w:r>
        <w:rPr>
          <w:rFonts w:ascii="Inter" w:hAnsi="Inter"/>
          <w:b/>
          <w:color w:val="0D1B2A"/>
          <w:sz w:val="27"/>
        </w:rPr>
        <w:t>Confidentiality</w:t>
      </w:r>
    </w:p>
    <w:p>
      <w:r>
        <w:rPr>
          <w:rFonts w:ascii="Inter" w:hAnsi="Inter"/>
          <w:b w:val="0"/>
          <w:color w:val="0D1B2A"/>
          <w:sz w:val="21"/>
        </w:rPr>
        <w:t>Critical Path Partners treats all client materials as confidential, uses them only for this engagement, and does not disclose them to any third party except as required by law. Conflict screening is completed before the file is opened.</w:t>
      </w:r>
    </w:p>
    <w:p>
      <w:pPr>
        <w:keepNext/>
        <w:spacing w:before="320" w:after="120"/>
        <w:pBdr>
          <w:bottom w:val="single" w:sz="6" w:space="4" w:color="C9D3DD"/>
        </w:pBdr>
      </w:pPr>
      <w:r>
        <w:rPr>
          <w:rFonts w:ascii="Inter" w:hAnsi="Inter"/>
          <w:b/>
          <w:color w:val="C8392F"/>
          <w:sz w:val="18"/>
        </w:rPr>
        <w:t>E-07</w:t>
      </w:r>
      <w:r>
        <w:t xml:space="preserve">   </w:t>
      </w:r>
      <w:r>
        <w:rPr>
          <w:rFonts w:ascii="Inter" w:hAnsi="Inter"/>
          <w:b/>
          <w:color w:val="0D1B2A"/>
          <w:sz w:val="27"/>
        </w:rPr>
        <w:t>File retention</w:t>
      </w:r>
    </w:p>
    <w:p>
      <w:r>
        <w:rPr>
          <w:rFonts w:ascii="Inter" w:hAnsi="Inter"/>
          <w:b w:val="0"/>
          <w:color w:val="0D1B2A"/>
          <w:sz w:val="21"/>
        </w:rPr>
        <w:t>Critical Path Partners retains the engagement working file for 12 months following delivery of the final deliverable. On written request from the client, all client files and working copies are deleted within 30 days of the request, and deletion is confirmed in writing.</w:t>
      </w:r>
    </w:p>
    <w:p>
      <w:pPr>
        <w:keepNext/>
        <w:spacing w:before="320" w:after="120"/>
        <w:pBdr>
          <w:bottom w:val="single" w:sz="6" w:space="4" w:color="C9D3DD"/>
        </w:pBdr>
      </w:pPr>
      <w:r>
        <w:rPr>
          <w:rFonts w:ascii="Inter" w:hAnsi="Inter"/>
          <w:b/>
          <w:color w:val="C8392F"/>
          <w:sz w:val="18"/>
        </w:rPr>
        <w:t>E-08</w:t>
      </w:r>
      <w:r>
        <w:t xml:space="preserve">   </w:t>
      </w:r>
      <w:r>
        <w:rPr>
          <w:rFonts w:ascii="Inter" w:hAnsi="Inter"/>
          <w:b/>
          <w:color w:val="0D1B2A"/>
          <w:sz w:val="27"/>
        </w:rPr>
        <w:t>Nature of the services</w:t>
      </w:r>
    </w:p>
    <w:p>
      <w:r>
        <w:rPr>
          <w:rFonts w:ascii="Inter" w:hAnsi="Inter"/>
          <w:b w:val="0"/>
          <w:color w:val="0D1B2A"/>
          <w:sz w:val="21"/>
        </w:rPr>
        <w:t>This engagement provides schedule analysis. It does not provide legal advice, legal conclusions, or opinions on legal rights. Findings are stated in advisory form, for example: the Contractor claims 22 working days pursuant to clause 6.5. Whether a claim succeeds is a question for the parties and their legal advisors.</w:t>
      </w:r>
    </w:p>
    <w:p>
      <w:pPr>
        <w:keepNext/>
        <w:spacing w:before="320" w:after="120"/>
        <w:pBdr>
          <w:bottom w:val="single" w:sz="6" w:space="4" w:color="C9D3DD"/>
        </w:pBdr>
      </w:pPr>
      <w:r>
        <w:rPr>
          <w:rFonts w:ascii="Inter" w:hAnsi="Inter"/>
          <w:b/>
          <w:color w:val="C8392F"/>
          <w:sz w:val="18"/>
        </w:rPr>
        <w:t>E-09</w:t>
      </w:r>
      <w:r>
        <w:t xml:space="preserve">   </w:t>
      </w:r>
      <w:r>
        <w:rPr>
          <w:rFonts w:ascii="Inter" w:hAnsi="Inter"/>
          <w:b/>
          <w:color w:val="0D1B2A"/>
          <w:sz w:val="27"/>
        </w:rPr>
        <w:t>Termination</w:t>
      </w:r>
    </w:p>
    <w:p>
      <w:r>
        <w:rPr>
          <w:rFonts w:ascii="Inter" w:hAnsi="Inter"/>
          <w:b w:val="0"/>
          <w:color w:val="0D1B2A"/>
          <w:sz w:val="21"/>
        </w:rPr>
        <w:t>Either party may end the engagement on 10 days written notice. On termination the client pays for services performed to the termination date, and the file retention and deletion terms above continue to apply.</w:t>
      </w:r>
    </w:p>
    <w:p>
      <w:pPr>
        <w:keepNext/>
        <w:spacing w:before="320" w:after="120"/>
        <w:pBdr>
          <w:bottom w:val="single" w:sz="6" w:space="4" w:color="C9D3DD"/>
        </w:pBdr>
      </w:pPr>
      <w:r>
        <w:rPr>
          <w:rFonts w:ascii="Inter" w:hAnsi="Inter"/>
          <w:b/>
          <w:color w:val="C8392F"/>
          <w:sz w:val="18"/>
        </w:rPr>
        <w:t>E-10</w:t>
      </w:r>
      <w:r>
        <w:t xml:space="preserve">   </w:t>
      </w:r>
      <w:r>
        <w:rPr>
          <w:rFonts w:ascii="Inter" w:hAnsi="Inter"/>
          <w:b/>
          <w:color w:val="0D1B2A"/>
          <w:sz w:val="27"/>
        </w:rPr>
        <w:t>Signatures</w:t>
      </w:r>
    </w:p>
    <w:p>
      <w:r>
        <w:rPr>
          <w:rFonts w:ascii="Inter" w:hAnsi="Inter"/>
          <w:b/>
          <w:color w:val="0F2540"/>
          <w:sz w:val="21"/>
        </w:rPr>
        <w:t>For Critical Path Partners:</w:t>
      </w:r>
    </w:p>
    <w:p/>
    <w:p>
      <w:r>
        <w:rPr>
          <w:rFonts w:ascii="Inter" w:hAnsi="Inter"/>
          <w:b w:val="0"/>
          <w:color w:val="0D1B2A"/>
          <w:sz w:val="21"/>
        </w:rPr>
        <w:t>_______________________________</w:t>
      </w:r>
    </w:p>
    <w:p>
      <w:r>
        <w:rPr>
          <w:rFonts w:ascii="Inter" w:hAnsi="Inter"/>
          <w:b w:val="0"/>
          <w:color w:val="0D1B2A"/>
          <w:sz w:val="21"/>
        </w:rPr>
        <w:t>Dana Fitkowski</w:t>
      </w:r>
    </w:p>
    <w:p>
      <w:r>
        <w:rPr>
          <w:rFonts w:ascii="Inter" w:hAnsi="Inter"/>
          <w:b w:val="0"/>
          <w:color w:val="0D1B2A"/>
          <w:sz w:val="21"/>
        </w:rPr>
        <w:t>Principal, Critical Path Partners</w:t>
      </w:r>
    </w:p>
    <w:p>
      <w:r>
        <w:rPr>
          <w:rFonts w:ascii="Inter" w:hAnsi="Inter"/>
          <w:b w:val="0"/>
          <w:color w:val="0D1B2A"/>
          <w:sz w:val="21"/>
        </w:rPr>
        <w:t>Date: _______________________</w:t>
      </w:r>
    </w:p>
    <w:p/>
    <w:p>
      <w:r>
        <w:rPr>
          <w:rFonts w:ascii="Inter" w:hAnsi="Inter"/>
          <w:b/>
          <w:color w:val="0F2540"/>
          <w:sz w:val="21"/>
        </w:rPr>
        <w:t>Agreed and accepted for Northgate Constructors (Demo):</w:t>
      </w:r>
    </w:p>
    <w:p/>
    <w:p>
      <w:r>
        <w:rPr>
          <w:rFonts w:ascii="Inter" w:hAnsi="Inter"/>
          <w:b w:val="0"/>
          <w:color w:val="0D1B2A"/>
          <w:sz w:val="21"/>
        </w:rPr>
        <w:t>_______________________________</w:t>
      </w:r>
    </w:p>
    <w:p>
      <w:r>
        <w:rPr>
          <w:rFonts w:ascii="Inter" w:hAnsi="Inter"/>
          <w:b w:val="0"/>
          <w:color w:val="0D1B2A"/>
          <w:sz w:val="21"/>
        </w:rPr>
        <w:t>A. Example, Vice President (Demo)</w:t>
      </w:r>
    </w:p>
    <w:p>
      <w:r>
        <w:rPr>
          <w:rFonts w:ascii="Inter" w:hAnsi="Inter"/>
          <w:b w:val="0"/>
          <w:color w:val="0D1B2A"/>
          <w:sz w:val="21"/>
        </w:rPr>
        <w:t>Date: _______________________</w:t>
      </w:r>
    </w:p>
    <w:p/>
    <w:p/>
    <w:p>
      <w:r>
        <w:rPr>
          <w:rFonts w:ascii="Inter" w:hAnsi="Inter"/>
          <w:b w:val="0"/>
          <w:color w:val="0F2540"/>
          <w:sz w:val="18"/>
        </w:rPr>
        <w:t>Critical Path Partners · CPP-ENG-LTR / CPP-2025-DEMO · prepared September 01, 2026</w:t>
      </w:r>
    </w:p>
    <w:sectPr w:rsidR="00FC693F" w:rsidRPr="0006063C" w:rsidSect="00034616">
      <w:pgSz w:w="12240" w:h="15840"/>
      <w:pgMar w:top="1296"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8" w:lineRule="auto"/>
    </w:pPr>
    <w:rPr>
      <w:rFonts w:ascii="Inter" w:hAnsi="Inter"/>
      <w:color w:val="0D1B2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80"/>
      <w:outlineLvl w:val="0"/>
    </w:pPr>
    <w:rPr>
      <w:rFonts w:asciiTheme="majorHAnsi" w:eastAsiaTheme="majorEastAsia" w:hAnsiTheme="majorHAnsi" w:cstheme="majorBidi" w:ascii="Inter" w:hAnsi="Inter"/>
      <w:b/>
      <w:bCs/>
      <w:color w:val="0D1B2A"/>
      <w:sz w:val="44"/>
      <w:szCs w:val="28"/>
    </w:rPr>
  </w:style>
  <w:style w:type="paragraph" w:styleId="Heading2">
    <w:name w:val="heading 2"/>
    <w:basedOn w:val="Normal"/>
    <w:next w:val="Normal"/>
    <w:link w:val="Heading2Char"/>
    <w:uiPriority w:val="9"/>
    <w:unhideWhenUsed/>
    <w:qFormat/>
    <w:rsid w:val="00FC693F"/>
    <w:pPr>
      <w:keepNext/>
      <w:keepLines/>
      <w:spacing w:before="280" w:after="120"/>
      <w:outlineLvl w:val="1"/>
    </w:pPr>
    <w:rPr>
      <w:rFonts w:asciiTheme="majorHAnsi" w:eastAsiaTheme="majorEastAsia" w:hAnsiTheme="majorHAnsi" w:cstheme="majorBidi" w:ascii="Inter" w:hAnsi="Inter"/>
      <w:b/>
      <w:bCs/>
      <w:color w:val="0D1B2A"/>
      <w:sz w:val="28"/>
      <w:szCs w:val="26"/>
    </w:rPr>
  </w:style>
  <w:style w:type="paragraph" w:styleId="Heading3">
    <w:name w:val="heading 3"/>
    <w:basedOn w:val="Normal"/>
    <w:next w:val="Normal"/>
    <w:link w:val="Heading3Char"/>
    <w:uiPriority w:val="9"/>
    <w:unhideWhenUsed/>
    <w:qFormat/>
    <w:rsid w:val="00FC693F"/>
    <w:pPr>
      <w:keepNext/>
      <w:keepLines/>
      <w:spacing w:before="200" w:after="80"/>
      <w:outlineLvl w:val="2"/>
    </w:pPr>
    <w:rPr>
      <w:rFonts w:asciiTheme="majorHAnsi" w:eastAsiaTheme="majorEastAsia" w:hAnsiTheme="majorHAnsi" w:cstheme="majorBidi" w:ascii="Inter" w:hAnsi="Inter"/>
      <w:b/>
      <w:bCs/>
      <w:color w:val="0F254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Inter" w:hAnsi="Inter"/>
      <w:b/>
      <w:color w:val="0D1B2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CPPMono">
    <w:name w:val="CPP Mono"/>
    <w:rPr>
      <w:rFonts w:ascii="Consolas" w:hAnsi="Consolas" w:cs="Consolas"/>
      <w:color w:val="0D1B2A"/>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